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E809" w14:textId="7077A25F" w:rsidR="003E2D08" w:rsidRPr="00FC192F" w:rsidRDefault="001B367C" w:rsidP="003E2D0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TSCA Import Certification</w:t>
      </w:r>
    </w:p>
    <w:p w14:paraId="3188976F" w14:textId="7C3A78FF" w:rsidR="003E2D08" w:rsidRDefault="00327F73" w:rsidP="003E2D08">
      <w:pPr>
        <w:pStyle w:val="BodyText"/>
        <w:ind w:left="0"/>
        <w:rPr>
          <w:sz w:val="20"/>
          <w:lang w:eastAsia="ja-JP"/>
        </w:rPr>
      </w:pPr>
      <w:r>
        <w:rPr>
          <w:sz w:val="20"/>
          <w:lang w:eastAsia="ja-JP"/>
        </w:rPr>
        <w:t xml:space="preserve">January </w:t>
      </w:r>
      <w:r w:rsidR="00915BE4">
        <w:rPr>
          <w:sz w:val="20"/>
          <w:lang w:eastAsia="ja-JP"/>
        </w:rPr>
        <w:t>01</w:t>
      </w:r>
      <w:r w:rsidR="001B367C">
        <w:rPr>
          <w:sz w:val="20"/>
          <w:lang w:eastAsia="ja-JP"/>
        </w:rPr>
        <w:t>,</w:t>
      </w:r>
      <w:r w:rsidR="003E2D08">
        <w:rPr>
          <w:sz w:val="20"/>
          <w:lang w:eastAsia="ja-JP"/>
        </w:rPr>
        <w:t xml:space="preserve"> 202</w:t>
      </w:r>
      <w:r w:rsidR="00915BE4">
        <w:rPr>
          <w:sz w:val="20"/>
          <w:lang w:eastAsia="ja-JP"/>
        </w:rPr>
        <w:t>3</w:t>
      </w:r>
    </w:p>
    <w:p w14:paraId="602641F5" w14:textId="77777777" w:rsidR="003E2D08" w:rsidRPr="00FC192F" w:rsidRDefault="003E2D08" w:rsidP="003E2D08">
      <w:pPr>
        <w:pStyle w:val="BodyText"/>
        <w:ind w:left="0"/>
        <w:rPr>
          <w:sz w:val="20"/>
          <w:lang w:eastAsia="ja-JP"/>
        </w:rPr>
      </w:pPr>
    </w:p>
    <w:p w14:paraId="36BD3C88" w14:textId="2B1BBEA2" w:rsidR="003E2D08" w:rsidRPr="00FB539B" w:rsidRDefault="003E2D08" w:rsidP="003E2D08">
      <w:pPr>
        <w:pStyle w:val="BodyText"/>
        <w:ind w:left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In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respect to the application of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 xml:space="preserve"> Section 13 of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 xml:space="preserve">the Environmental Protection Agency Toxic Substance Control Act (TSCA) to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products 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 xml:space="preserve">manufactured and supplied by </w:t>
      </w:r>
      <w:r w:rsidR="00915BE4">
        <w:rPr>
          <w:rFonts w:ascii="Arial" w:hAnsi="Arial" w:cs="Arial"/>
          <w:color w:val="000000"/>
          <w:sz w:val="22"/>
          <w:szCs w:val="22"/>
          <w:lang w:eastAsia="ja-JP"/>
        </w:rPr>
        <w:t xml:space="preserve">Ascent Tubular Products (formerly 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>Bristol Metals, LLC</w:t>
      </w:r>
      <w:r w:rsidR="00915BE4">
        <w:rPr>
          <w:rFonts w:ascii="Arial" w:hAnsi="Arial" w:cs="Arial"/>
          <w:color w:val="000000"/>
          <w:sz w:val="22"/>
          <w:szCs w:val="22"/>
          <w:lang w:eastAsia="ja-JP"/>
        </w:rPr>
        <w:t xml:space="preserve">), </w:t>
      </w:r>
      <w:r w:rsidR="00761497">
        <w:rPr>
          <w:rFonts w:ascii="Arial" w:hAnsi="Arial" w:cs="Arial"/>
          <w:color w:val="000000"/>
          <w:sz w:val="22"/>
          <w:szCs w:val="22"/>
          <w:lang w:eastAsia="ja-JP"/>
        </w:rPr>
        <w:t>states as follows:</w:t>
      </w:r>
    </w:p>
    <w:p w14:paraId="14C7EFCC" w14:textId="77777777" w:rsidR="003E2D08" w:rsidRPr="00FB539B" w:rsidRDefault="003E2D08" w:rsidP="003E2D08">
      <w:pPr>
        <w:pStyle w:val="BodyText"/>
        <w:ind w:left="0"/>
        <w:rPr>
          <w:spacing w:val="-1"/>
          <w:sz w:val="22"/>
          <w:szCs w:val="22"/>
          <w:lang w:eastAsia="ja-JP"/>
        </w:rPr>
      </w:pPr>
    </w:p>
    <w:p w14:paraId="55471609" w14:textId="7A3A5C59" w:rsidR="003E2D08" w:rsidRPr="001B367C" w:rsidRDefault="00761497" w:rsidP="003E2D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P</w:t>
      </w:r>
      <w:r w:rsidR="003E2D08"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roducts supplied by </w:t>
      </w:r>
      <w:r w:rsidR="00915BE4">
        <w:rPr>
          <w:rFonts w:ascii="Arial" w:hAnsi="Arial" w:cs="Arial"/>
          <w:color w:val="000000"/>
          <w:sz w:val="22"/>
          <w:szCs w:val="22"/>
          <w:lang w:eastAsia="ja-JP"/>
        </w:rPr>
        <w:t>Ascent Tubular Products</w:t>
      </w:r>
      <w:r w:rsidR="003E2D08"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="003E2D08">
        <w:rPr>
          <w:rFonts w:ascii="Arial" w:hAnsi="Arial" w:cs="Arial"/>
          <w:color w:val="000000"/>
          <w:sz w:val="22"/>
          <w:szCs w:val="22"/>
          <w:lang w:eastAsia="ja-JP"/>
        </w:rPr>
        <w:t>(</w:t>
      </w:r>
      <w:r w:rsidR="003E2D08" w:rsidRPr="00FB539B">
        <w:rPr>
          <w:rFonts w:ascii="Arial" w:hAnsi="Arial" w:cs="Arial"/>
          <w:color w:val="000000"/>
          <w:sz w:val="22"/>
          <w:szCs w:val="22"/>
          <w:lang w:eastAsia="ja-JP"/>
        </w:rPr>
        <w:t>welded stainless</w:t>
      </w:r>
      <w:r w:rsidR="003E2D08">
        <w:rPr>
          <w:rFonts w:ascii="Arial" w:hAnsi="Arial" w:cs="Arial"/>
          <w:color w:val="000000"/>
          <w:sz w:val="22"/>
          <w:szCs w:val="22"/>
          <w:lang w:eastAsia="ja-JP"/>
        </w:rPr>
        <w:t>-</w:t>
      </w:r>
      <w:r w:rsidR="003E2D08" w:rsidRPr="00FB539B">
        <w:rPr>
          <w:rFonts w:ascii="Arial" w:hAnsi="Arial" w:cs="Arial"/>
          <w:color w:val="000000"/>
          <w:sz w:val="22"/>
          <w:szCs w:val="22"/>
          <w:lang w:eastAsia="ja-JP"/>
        </w:rPr>
        <w:t>steel pipe &amp; tube</w:t>
      </w:r>
      <w:r w:rsidR="003E2D08">
        <w:rPr>
          <w:rFonts w:ascii="Arial" w:hAnsi="Arial" w:cs="Arial"/>
          <w:color w:val="000000"/>
          <w:sz w:val="22"/>
          <w:szCs w:val="22"/>
          <w:lang w:eastAsia="ja-JP"/>
        </w:rPr>
        <w:t>)</w:t>
      </w:r>
      <w:r w:rsidR="003E2D08"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 are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 xml:space="preserve">, by definition, </w:t>
      </w:r>
      <w:r w:rsidR="003E2D08">
        <w:rPr>
          <w:rFonts w:ascii="Arial" w:hAnsi="Arial" w:cs="Arial"/>
          <w:color w:val="000000"/>
          <w:sz w:val="22"/>
          <w:szCs w:val="22"/>
          <w:lang w:eastAsia="ja-JP"/>
        </w:rPr>
        <w:t xml:space="preserve">considered 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“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>A</w:t>
      </w:r>
      <w:r w:rsidR="003E2D08" w:rsidRPr="00FB539B">
        <w:rPr>
          <w:rFonts w:ascii="Arial" w:hAnsi="Arial" w:cs="Arial"/>
          <w:color w:val="000000"/>
          <w:sz w:val="22"/>
          <w:szCs w:val="22"/>
          <w:lang w:eastAsia="ja-JP"/>
        </w:rPr>
        <w:t>rticles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”</w:t>
      </w:r>
      <w:r w:rsidR="003E2D08"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pursuant to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 xml:space="preserve"> 19 CFR 12.120 (a) (1) (I, ii, iii) and therefore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, are</w:t>
      </w:r>
      <w:r w:rsidR="001B367C">
        <w:rPr>
          <w:rFonts w:ascii="Arial" w:hAnsi="Arial" w:cs="Arial"/>
          <w:color w:val="000000"/>
          <w:sz w:val="22"/>
          <w:szCs w:val="22"/>
          <w:lang w:eastAsia="ja-JP"/>
        </w:rPr>
        <w:t xml:space="preserve"> exempt from certification.</w:t>
      </w:r>
    </w:p>
    <w:p w14:paraId="010837CD" w14:textId="1E52A727" w:rsidR="001B367C" w:rsidRPr="00EB0180" w:rsidRDefault="00674614" w:rsidP="003E2D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The five persistent bioaccumulative and toxic (PBT) chemicals listed in TSCA Section 6 (h) are neither incorporated into the Article</w:t>
      </w:r>
      <w:r w:rsidR="00761497">
        <w:rPr>
          <w:rFonts w:ascii="Arial" w:hAnsi="Arial" w:cs="Arial"/>
          <w:color w:val="000000"/>
          <w:sz w:val="22"/>
          <w:szCs w:val="22"/>
          <w:lang w:eastAsia="ja-JP"/>
        </w:rPr>
        <w:t>s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 during the manufacturing process, nor are part of the Article</w:t>
      </w:r>
      <w:r w:rsidR="00761497">
        <w:rPr>
          <w:rFonts w:ascii="Arial" w:hAnsi="Arial" w:cs="Arial"/>
          <w:color w:val="000000"/>
          <w:sz w:val="22"/>
          <w:szCs w:val="22"/>
          <w:lang w:eastAsia="ja-JP"/>
        </w:rPr>
        <w:t>s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 as supplied.</w:t>
      </w:r>
    </w:p>
    <w:p w14:paraId="7AD01E11" w14:textId="10451415" w:rsidR="00EB0180" w:rsidRPr="00EB0180" w:rsidRDefault="00EB0180" w:rsidP="003E2D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Per TSCA Section I, no certification is required.</w:t>
      </w:r>
    </w:p>
    <w:p w14:paraId="4520323C" w14:textId="17784990" w:rsidR="00EB0180" w:rsidRDefault="00EB0180" w:rsidP="00EB0180">
      <w:pPr>
        <w:widowControl w:val="0"/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</w:p>
    <w:p w14:paraId="7CAAE5E3" w14:textId="434227BB" w:rsidR="00EB0180" w:rsidRDefault="00EB0180" w:rsidP="00EB0180">
      <w:pPr>
        <w:widowControl w:val="0"/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</w:p>
    <w:p w14:paraId="5BFB0AEC" w14:textId="77777777" w:rsidR="00EB0180" w:rsidRDefault="00EB0180" w:rsidP="00EB0180">
      <w:pPr>
        <w:widowControl w:val="0"/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</w:p>
    <w:p w14:paraId="04F344C6" w14:textId="1C6B25E7" w:rsidR="00EB0180" w:rsidRPr="00EB0180" w:rsidRDefault="00EB0180" w:rsidP="00EB0180">
      <w:pPr>
        <w:widowControl w:val="0"/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I certify that pipe and tube </w:t>
      </w:r>
      <w:r w:rsidR="00761497">
        <w:rPr>
          <w:rFonts w:ascii="Arial" w:hAnsi="Arial" w:cs="Arial"/>
          <w:sz w:val="22"/>
          <w:szCs w:val="22"/>
          <w:lang w:eastAsia="ja-JP"/>
        </w:rPr>
        <w:t xml:space="preserve">products </w:t>
      </w:r>
      <w:r>
        <w:rPr>
          <w:rFonts w:ascii="Arial" w:hAnsi="Arial" w:cs="Arial"/>
          <w:sz w:val="22"/>
          <w:szCs w:val="22"/>
          <w:lang w:eastAsia="ja-JP"/>
        </w:rPr>
        <w:t xml:space="preserve">supplied by </w:t>
      </w:r>
      <w:r w:rsidR="00915BE4">
        <w:rPr>
          <w:rFonts w:ascii="Arial" w:hAnsi="Arial" w:cs="Arial"/>
          <w:sz w:val="22"/>
          <w:szCs w:val="22"/>
          <w:lang w:eastAsia="ja-JP"/>
        </w:rPr>
        <w:t>Ascent Tubular Products</w:t>
      </w:r>
      <w:r>
        <w:rPr>
          <w:rFonts w:ascii="Arial" w:hAnsi="Arial" w:cs="Arial"/>
          <w:sz w:val="22"/>
          <w:szCs w:val="22"/>
          <w:lang w:eastAsia="ja-JP"/>
        </w:rPr>
        <w:t xml:space="preserve"> are not subject to TSCA.</w:t>
      </w:r>
    </w:p>
    <w:p w14:paraId="2A2F3DC1" w14:textId="77777777" w:rsidR="003E2D08" w:rsidRDefault="003E2D08" w:rsidP="003E2D08">
      <w:pPr>
        <w:pStyle w:val="BodyText"/>
        <w:ind w:left="0"/>
        <w:rPr>
          <w:sz w:val="20"/>
          <w:szCs w:val="22"/>
          <w:lang w:eastAsia="ja-JP"/>
        </w:rPr>
      </w:pPr>
      <w:r>
        <w:rPr>
          <w:noProof/>
          <w:sz w:val="20"/>
          <w:szCs w:val="22"/>
          <w:lang w:eastAsia="ja-JP"/>
        </w:rPr>
        <w:drawing>
          <wp:inline distT="0" distB="0" distL="0" distR="0" wp14:anchorId="5FA7495A" wp14:editId="2FB5D996">
            <wp:extent cx="1456900" cy="525439"/>
            <wp:effectExtent l="0" t="0" r="0" b="8255"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bie Signature (002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267" cy="5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F026" w14:textId="77777777" w:rsidR="003E2D08" w:rsidRDefault="003E2D08" w:rsidP="003E2D08">
      <w:pPr>
        <w:pStyle w:val="BodyText"/>
        <w:ind w:left="0"/>
        <w:rPr>
          <w:sz w:val="20"/>
          <w:szCs w:val="22"/>
          <w:lang w:eastAsia="ja-JP"/>
        </w:rPr>
      </w:pPr>
      <w:r>
        <w:rPr>
          <w:sz w:val="20"/>
          <w:szCs w:val="22"/>
          <w:lang w:eastAsia="ja-JP"/>
        </w:rPr>
        <w:t>James R. Baines III</w:t>
      </w:r>
    </w:p>
    <w:p w14:paraId="2EE9D63F" w14:textId="664E9B1A" w:rsidR="003E2D08" w:rsidRDefault="00915BE4" w:rsidP="003E2D08">
      <w:pPr>
        <w:pStyle w:val="BodyText"/>
        <w:ind w:left="0"/>
        <w:rPr>
          <w:sz w:val="20"/>
          <w:szCs w:val="22"/>
          <w:lang w:eastAsia="ja-JP"/>
        </w:rPr>
      </w:pPr>
      <w:r>
        <w:rPr>
          <w:sz w:val="20"/>
          <w:szCs w:val="22"/>
          <w:lang w:eastAsia="ja-JP"/>
        </w:rPr>
        <w:t>Director of Product Development &amp; Quality</w:t>
      </w:r>
    </w:p>
    <w:p w14:paraId="5BCCECDA" w14:textId="4F677BA8" w:rsidR="003E2D08" w:rsidRPr="00FC192F" w:rsidRDefault="00915BE4" w:rsidP="003E2D08">
      <w:pPr>
        <w:pStyle w:val="BodyText"/>
        <w:ind w:left="0"/>
        <w:rPr>
          <w:sz w:val="20"/>
          <w:szCs w:val="22"/>
        </w:rPr>
      </w:pPr>
      <w:r>
        <w:rPr>
          <w:sz w:val="20"/>
          <w:szCs w:val="22"/>
          <w:lang w:eastAsia="ja-JP"/>
        </w:rPr>
        <w:t>Ascent Tubular Products</w:t>
      </w:r>
    </w:p>
    <w:p w14:paraId="5701FDD7" w14:textId="095AF9BF" w:rsidR="0006386C" w:rsidRPr="00997C46" w:rsidRDefault="0006386C" w:rsidP="00997C46"/>
    <w:sectPr w:rsidR="0006386C" w:rsidRPr="00997C46" w:rsidSect="00464198">
      <w:headerReference w:type="default" r:id="rId8"/>
      <w:footerReference w:type="default" r:id="rId9"/>
      <w:pgSz w:w="12240" w:h="15840"/>
      <w:pgMar w:top="2070" w:right="1080" w:bottom="2250" w:left="1080" w:header="720" w:footer="3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8CF7" w14:textId="77777777" w:rsidR="005F37C8" w:rsidRDefault="005F37C8" w:rsidP="008E511B">
      <w:r>
        <w:separator/>
      </w:r>
    </w:p>
  </w:endnote>
  <w:endnote w:type="continuationSeparator" w:id="0">
    <w:p w14:paraId="7A336934" w14:textId="77777777" w:rsidR="005F37C8" w:rsidRDefault="005F37C8" w:rsidP="008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027E" w14:textId="264BA519" w:rsidR="005F37C8" w:rsidRDefault="004641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7AEAAA" wp14:editId="3F096ECC">
              <wp:simplePos x="0" y="0"/>
              <wp:positionH relativeFrom="column">
                <wp:posOffset>-291465</wp:posOffset>
              </wp:positionH>
              <wp:positionV relativeFrom="paragraph">
                <wp:posOffset>-32385</wp:posOffset>
              </wp:positionV>
              <wp:extent cx="6858000" cy="4572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6EA77" w14:textId="77777777" w:rsidR="00464198" w:rsidRDefault="00464198" w:rsidP="00464198">
                          <w:pPr>
                            <w:pBdr>
                              <w:bottom w:val="single" w:sz="6" w:space="1" w:color="auto"/>
                            </w:pBdr>
                          </w:pPr>
                        </w:p>
                        <w:p w14:paraId="105FE94F" w14:textId="77777777" w:rsidR="00C10A9E" w:rsidRPr="00956224" w:rsidRDefault="00C10A9E" w:rsidP="00C10A9E">
                          <w:pPr>
                            <w:jc w:val="right"/>
                            <w:rPr>
                              <w:rFonts w:ascii="Abadi" w:hAnsi="Abadi"/>
                              <w:color w:val="F79646" w:themeColor="accent6"/>
                              <w:sz w:val="18"/>
                              <w:szCs w:val="14"/>
                            </w:rPr>
                          </w:pPr>
                          <w:hyperlink r:id="rId1" w:history="1">
                            <w:r w:rsidRPr="00956224">
                              <w:rPr>
                                <w:rStyle w:val="Hyperlink"/>
                                <w:rFonts w:ascii="Abadi" w:hAnsi="Abadi"/>
                                <w:color w:val="F79646" w:themeColor="accent6"/>
                                <w:sz w:val="18"/>
                                <w:szCs w:val="14"/>
                              </w:rPr>
                              <w:t>https://brismet.com/literature-resources/</w:t>
                            </w:r>
                          </w:hyperlink>
                        </w:p>
                        <w:p w14:paraId="13FDDB1B" w14:textId="77777777" w:rsidR="00464198" w:rsidRDefault="00464198" w:rsidP="004641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AEA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22.95pt;margin-top:-2.55pt;width:540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" filled="f" stroked="f">
              <v:textbox>
                <w:txbxContent>
                  <w:p w14:paraId="7426EA77" w14:textId="77777777" w:rsidR="00464198" w:rsidRDefault="00464198" w:rsidP="00464198">
                    <w:pPr>
                      <w:pBdr>
                        <w:bottom w:val="single" w:sz="6" w:space="1" w:color="auto"/>
                      </w:pBdr>
                    </w:pPr>
                  </w:p>
                  <w:p w14:paraId="105FE94F" w14:textId="77777777" w:rsidR="00C10A9E" w:rsidRPr="00956224" w:rsidRDefault="00C10A9E" w:rsidP="00C10A9E">
                    <w:pPr>
                      <w:jc w:val="right"/>
                      <w:rPr>
                        <w:rFonts w:ascii="Abadi" w:hAnsi="Abadi"/>
                        <w:color w:val="F79646" w:themeColor="accent6"/>
                        <w:sz w:val="18"/>
                        <w:szCs w:val="14"/>
                      </w:rPr>
                    </w:pPr>
                    <w:hyperlink r:id="rId2" w:history="1">
                      <w:r w:rsidRPr="00956224">
                        <w:rPr>
                          <w:rStyle w:val="Hyperlink"/>
                          <w:rFonts w:ascii="Abadi" w:hAnsi="Abadi"/>
                          <w:color w:val="F79646" w:themeColor="accent6"/>
                          <w:sz w:val="18"/>
                          <w:szCs w:val="14"/>
                        </w:rPr>
                        <w:t>https://brismet.com/literature-resources/</w:t>
                      </w:r>
                    </w:hyperlink>
                  </w:p>
                  <w:p w14:paraId="13FDDB1B" w14:textId="77777777" w:rsidR="00464198" w:rsidRDefault="00464198" w:rsidP="004641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0358" w14:textId="77777777" w:rsidR="005F37C8" w:rsidRDefault="005F37C8" w:rsidP="008E511B">
      <w:r>
        <w:separator/>
      </w:r>
    </w:p>
  </w:footnote>
  <w:footnote w:type="continuationSeparator" w:id="0">
    <w:p w14:paraId="68C9C6D6" w14:textId="77777777" w:rsidR="005F37C8" w:rsidRDefault="005F37C8" w:rsidP="008E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2BC3" w14:textId="322D19C9" w:rsidR="00C41F94" w:rsidRPr="00505343" w:rsidRDefault="00915BE4" w:rsidP="00915BE4">
    <w:pPr>
      <w:pStyle w:val="Header"/>
      <w:rPr>
        <w:sz w:val="18"/>
        <w:szCs w:val="18"/>
      </w:rPr>
    </w:pPr>
    <w:r>
      <w:rPr>
        <w:noProof/>
      </w:rPr>
      <w:drawing>
        <wp:inline distT="0" distB="0" distL="0" distR="0" wp14:anchorId="07430505" wp14:editId="147768F9">
          <wp:extent cx="2400000" cy="485714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000" cy="4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1F94">
      <w:tab/>
    </w:r>
    <w:r w:rsidR="00C41F94">
      <w:tab/>
      <w:t xml:space="preserve">    </w:t>
    </w:r>
    <w:r w:rsidR="00505343">
      <w:t xml:space="preserve">   </w:t>
    </w:r>
  </w:p>
  <w:p w14:paraId="448EA6E1" w14:textId="3F431800" w:rsidR="005F37C8" w:rsidRDefault="005F37C8" w:rsidP="00C41F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090"/>
    <w:multiLevelType w:val="hybridMultilevel"/>
    <w:tmpl w:val="491AECB0"/>
    <w:lvl w:ilvl="0" w:tplc="B3BCD9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A98"/>
    <w:multiLevelType w:val="hybridMultilevel"/>
    <w:tmpl w:val="3C4C79DA"/>
    <w:lvl w:ilvl="0" w:tplc="644650B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242CD"/>
    <w:multiLevelType w:val="hybridMultilevel"/>
    <w:tmpl w:val="4DE242BA"/>
    <w:lvl w:ilvl="0" w:tplc="0FAC9D26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8317B4"/>
    <w:multiLevelType w:val="hybridMultilevel"/>
    <w:tmpl w:val="DB0040DA"/>
    <w:lvl w:ilvl="0" w:tplc="427ACE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62CB"/>
    <w:multiLevelType w:val="hybridMultilevel"/>
    <w:tmpl w:val="8E108C38"/>
    <w:lvl w:ilvl="0" w:tplc="AD6CAD52">
      <w:numFmt w:val="bullet"/>
      <w:lvlText w:val=""/>
      <w:lvlJc w:val="left"/>
      <w:pPr>
        <w:ind w:left="361" w:hanging="360"/>
      </w:pPr>
      <w:rPr>
        <w:rFonts w:ascii="Symbol" w:eastAsiaTheme="minorEastAsia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705E2371"/>
    <w:multiLevelType w:val="hybridMultilevel"/>
    <w:tmpl w:val="ACB655C2"/>
    <w:lvl w:ilvl="0" w:tplc="FA18ECF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44247">
    <w:abstractNumId w:val="2"/>
  </w:num>
  <w:num w:numId="2" w16cid:durableId="1343388967">
    <w:abstractNumId w:val="1"/>
  </w:num>
  <w:num w:numId="3" w16cid:durableId="1249653397">
    <w:abstractNumId w:val="3"/>
  </w:num>
  <w:num w:numId="4" w16cid:durableId="990913592">
    <w:abstractNumId w:val="0"/>
  </w:num>
  <w:num w:numId="5" w16cid:durableId="526602150">
    <w:abstractNumId w:val="5"/>
  </w:num>
  <w:num w:numId="6" w16cid:durableId="1379813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B"/>
    <w:rsid w:val="00005F88"/>
    <w:rsid w:val="00025E69"/>
    <w:rsid w:val="00050962"/>
    <w:rsid w:val="00062F80"/>
    <w:rsid w:val="0006386C"/>
    <w:rsid w:val="0006412A"/>
    <w:rsid w:val="000907F5"/>
    <w:rsid w:val="000B1F34"/>
    <w:rsid w:val="000C7735"/>
    <w:rsid w:val="000E1C86"/>
    <w:rsid w:val="00110469"/>
    <w:rsid w:val="00174830"/>
    <w:rsid w:val="00180270"/>
    <w:rsid w:val="001828FA"/>
    <w:rsid w:val="00190CB3"/>
    <w:rsid w:val="001B0862"/>
    <w:rsid w:val="001B367C"/>
    <w:rsid w:val="001B5294"/>
    <w:rsid w:val="001D6B5F"/>
    <w:rsid w:val="002072F5"/>
    <w:rsid w:val="0022643D"/>
    <w:rsid w:val="00241008"/>
    <w:rsid w:val="002464B7"/>
    <w:rsid w:val="00274F75"/>
    <w:rsid w:val="002812AF"/>
    <w:rsid w:val="00285272"/>
    <w:rsid w:val="002921EB"/>
    <w:rsid w:val="002971E1"/>
    <w:rsid w:val="002B085E"/>
    <w:rsid w:val="002B0B6D"/>
    <w:rsid w:val="002B2829"/>
    <w:rsid w:val="002C1B0C"/>
    <w:rsid w:val="00322182"/>
    <w:rsid w:val="00327F73"/>
    <w:rsid w:val="00332359"/>
    <w:rsid w:val="00342BAB"/>
    <w:rsid w:val="00346C39"/>
    <w:rsid w:val="003703DB"/>
    <w:rsid w:val="003E2D08"/>
    <w:rsid w:val="003F4F87"/>
    <w:rsid w:val="00464198"/>
    <w:rsid w:val="004A357C"/>
    <w:rsid w:val="004B07EE"/>
    <w:rsid w:val="004E1D5F"/>
    <w:rsid w:val="004E3197"/>
    <w:rsid w:val="004E712E"/>
    <w:rsid w:val="0050506E"/>
    <w:rsid w:val="00505343"/>
    <w:rsid w:val="00552677"/>
    <w:rsid w:val="00576579"/>
    <w:rsid w:val="00586C90"/>
    <w:rsid w:val="005D18CA"/>
    <w:rsid w:val="005F37C8"/>
    <w:rsid w:val="00621963"/>
    <w:rsid w:val="00627C00"/>
    <w:rsid w:val="00656F39"/>
    <w:rsid w:val="006673EC"/>
    <w:rsid w:val="00674614"/>
    <w:rsid w:val="006A6B10"/>
    <w:rsid w:val="00705C06"/>
    <w:rsid w:val="00732630"/>
    <w:rsid w:val="0074613D"/>
    <w:rsid w:val="00761497"/>
    <w:rsid w:val="00762A04"/>
    <w:rsid w:val="0077494B"/>
    <w:rsid w:val="00796224"/>
    <w:rsid w:val="007F25BD"/>
    <w:rsid w:val="00815ED6"/>
    <w:rsid w:val="00820B1C"/>
    <w:rsid w:val="0083295D"/>
    <w:rsid w:val="00834847"/>
    <w:rsid w:val="00846F74"/>
    <w:rsid w:val="0085528F"/>
    <w:rsid w:val="00877EF4"/>
    <w:rsid w:val="0088004F"/>
    <w:rsid w:val="0089365B"/>
    <w:rsid w:val="008978C1"/>
    <w:rsid w:val="008A385A"/>
    <w:rsid w:val="008C0BE5"/>
    <w:rsid w:val="008C7FFC"/>
    <w:rsid w:val="008E511B"/>
    <w:rsid w:val="00915BE4"/>
    <w:rsid w:val="009330C3"/>
    <w:rsid w:val="00943282"/>
    <w:rsid w:val="009573AA"/>
    <w:rsid w:val="00965952"/>
    <w:rsid w:val="00972682"/>
    <w:rsid w:val="00983344"/>
    <w:rsid w:val="00997C46"/>
    <w:rsid w:val="009B2269"/>
    <w:rsid w:val="00A505CC"/>
    <w:rsid w:val="00AD0EB4"/>
    <w:rsid w:val="00AE6ADF"/>
    <w:rsid w:val="00B14B99"/>
    <w:rsid w:val="00B409D6"/>
    <w:rsid w:val="00B4302C"/>
    <w:rsid w:val="00B605C8"/>
    <w:rsid w:val="00B663D5"/>
    <w:rsid w:val="00BC0CF4"/>
    <w:rsid w:val="00BD1100"/>
    <w:rsid w:val="00BD5B77"/>
    <w:rsid w:val="00C05F89"/>
    <w:rsid w:val="00C101F8"/>
    <w:rsid w:val="00C10A9E"/>
    <w:rsid w:val="00C20949"/>
    <w:rsid w:val="00C41F94"/>
    <w:rsid w:val="00C4489A"/>
    <w:rsid w:val="00C77568"/>
    <w:rsid w:val="00C80C67"/>
    <w:rsid w:val="00C80F2A"/>
    <w:rsid w:val="00CC5124"/>
    <w:rsid w:val="00D31167"/>
    <w:rsid w:val="00D37829"/>
    <w:rsid w:val="00D7740D"/>
    <w:rsid w:val="00D9130A"/>
    <w:rsid w:val="00DB56E9"/>
    <w:rsid w:val="00DB6AD8"/>
    <w:rsid w:val="00DC25E9"/>
    <w:rsid w:val="00DC6858"/>
    <w:rsid w:val="00DD1401"/>
    <w:rsid w:val="00DE7E39"/>
    <w:rsid w:val="00E04D80"/>
    <w:rsid w:val="00E71C07"/>
    <w:rsid w:val="00E73EB0"/>
    <w:rsid w:val="00EA150C"/>
    <w:rsid w:val="00EB0180"/>
    <w:rsid w:val="00EC02D6"/>
    <w:rsid w:val="00ED21CD"/>
    <w:rsid w:val="00F04756"/>
    <w:rsid w:val="00F11C27"/>
    <w:rsid w:val="00F34D5F"/>
    <w:rsid w:val="00F45A80"/>
    <w:rsid w:val="00F56215"/>
    <w:rsid w:val="00F84708"/>
    <w:rsid w:val="00FA0F22"/>
    <w:rsid w:val="00FB13A1"/>
    <w:rsid w:val="00FB423B"/>
    <w:rsid w:val="00FC61F4"/>
    <w:rsid w:val="00FD31BD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FE80F8"/>
  <w14:defaultImageDpi w14:val="300"/>
  <w15:docId w15:val="{AF5F00E0-9232-4438-890D-F69A14F2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B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1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1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1B"/>
    <w:rPr>
      <w:rFonts w:ascii="Lucida Grande" w:hAnsi="Lucida Grande"/>
      <w:sz w:val="18"/>
      <w:szCs w:val="18"/>
      <w:lang w:eastAsia="en-US"/>
    </w:rPr>
  </w:style>
  <w:style w:type="paragraph" w:customStyle="1" w:styleId="Default">
    <w:name w:val="Default"/>
    <w:rsid w:val="008E511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E511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8E511B"/>
    <w:rPr>
      <w:rFonts w:cs="Arial"/>
      <w:color w:val="49494B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1B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05F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80F2A"/>
    <w:pPr>
      <w:widowControl w:val="0"/>
      <w:ind w:left="840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0F2A"/>
    <w:rPr>
      <w:rFonts w:eastAsia="Times New Roman" w:cstheme="minorBidi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971E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971E1"/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10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tps://brismet.com/literature-resources/" TargetMode="External"/><Relationship Id="rId1" Type="http://schemas.openxmlformats.org/officeDocument/2006/relationships/hyperlink" Target="mailto:https://brismet.com/literature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Helium Studio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Hull</dc:creator>
  <cp:lastModifiedBy>Robbie Baines</cp:lastModifiedBy>
  <cp:revision>4</cp:revision>
  <cp:lastPrinted>2018-10-26T12:39:00Z</cp:lastPrinted>
  <dcterms:created xsi:type="dcterms:W3CDTF">2022-02-07T22:53:00Z</dcterms:created>
  <dcterms:modified xsi:type="dcterms:W3CDTF">2022-12-19T18:12:00Z</dcterms:modified>
</cp:coreProperties>
</file>